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TÍPUSÚ PÁLYÁZATI KIÍRÁS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sz w:val="22"/>
          <w:szCs w:val="22"/>
          <w:rtl w:val="0"/>
        </w:rPr>
        <w:t xml:space="preserve">Szentistvànvaksa Község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Önkormányzata a Kulturális és Innovációs Minisztériummal együttműködve, a felsőoktatásban részt vevő hallgatók juttatásairól és az általuk fizetendő egyes térítésekről szóló 51/2007. (III.26.) Kormányrendelet alapján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ezennel kiírja a 2025. évre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 Bursa Hungarica Felsőoktatási Önkormányzati Ösztöndíjpályázatot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felsőoktatási hallgatók számára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 2024/2025. tanév második és a 2025/2026. tanév első félévére vonatkozóan,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összhangban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nemzeti felsőoktatásról szóló 2011. évi CCIV. törvény,</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felsőoktatásban részt vevő hallgatók juttatásairól és az általuk fizetendő egyes térítésekről szóló 51/2007. (III. 26.) Korm. rendelet(a továbbiakban: Korm. rendelet),</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Nemzeti Közszolgálati Egyetemről, valamint a közigazgatási, rendészeti és katonai felsőoktatásról szóló 2011. évi CXXXII. törvény,</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Nemzeti Közszolgálati Egyetemről, valamint a közigazgatási, rendészeti és katonai felsőoktatásról szóló 2011. évi CXXXII. törvény egyes rendelkezéseinek végrehajtásáról szóló 363/2011. (XII. 30.) Korm. rendelet,</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szociális igazgatásról és szociális ellátásokról szóló 1993. évi III. törvény,</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államháztartásról szóló 2011. évi CXCV. törvény,</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államháztartásról szóló törvény végrehajtásáról szóló 368/2011. (XII. 31.) Korm. rendelet,</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Magyarország helyi önkormányzatairól szóló 2011. évi CLXXXIX. törvény,</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polgárok személyi adatainak és lakcímének nyilvántartásáról szóló 1992. évi LXVI. törvény,</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elektronikus ügyintézés és a bizalmi szolgáltatások általános szabályairól szóló 2015. évi CCXXII. törvény,</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elektronikus ügyintézés részletszabályairól szóló 451/2016. (XII. 19.) Korm. rendelet,</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információs önrendelkezési jogról és az információszabadságról szóló 2011. évi CXII. törvény,</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természetes személyeknek a személyes adatok kezelése tekintetében történő védelméről és az ilyen adatok szabad áramlásáról, valamint a 95/46/EK irányelv hatályon kívül helyezéséről szóló az Európai Parlament és a Tanács 2016. április 27-i (EU) 2016/679 rendelete (továbbiakban: GDPR),</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Büntető Törvénykönyvről szóló 2012. évi C. törvény,</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közfeladatot ellátó közérdekű vagyonkezelő alapítványokról szóló 2021. évi IX. törvény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7"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vonatkozó rendelkezéseivel.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 A pályázat célja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(a továbbiakban: NKTK) végzi, míg az elbírálási feladatokat az ösztöndíjpályázathoz csatlakozó települési és vármegyei önkormányzatok látják el.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 Bursa Hungarica Ösztöndíjrendszer jogszabályi hátteréül a Korm. rendeletés a nemzeti felsőoktatásról szóló 2011. évi CCIV. törvény szolgál.</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 A pályázók köre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Bursa Hungarica Ösztöndíjban a Korm. rendelet 18. § (2) bekezdése alapján kizárólag a települési önkormányzat területén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állandó lakóhellyel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ösztöndíjpályázatra azok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 települési önkormányzat területén lakóhellyel rendelkező,hátrányos szociális helyzetű</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felsőoktatási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hallgatók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jelentkezhetnek, akik a nemzeti felsőoktatásról szóló 2011. évi CCIV. törvény 1. mellékletében szereplő felsőoktatási intézményben (felsőoktatási hallgatói jogviszony keretében)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teljes idejű (nappali munkarend)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alapfokozatot és szakképzettséget eredményező alapképzésben, mesterfokozatot és szakképzettséget eredményező mesterképzésben, osztatlan képzésben vagy felsőoktatási szakképzésben folytatják tanulmányaikat.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ösztöndíjra pályázhatnak a 2024szeptemberében felsőoktatási tanulmányaik utolsó évét megkezdő hallgatók is. Amennyiben az ösztöndíjas hallgatói jogviszonya 2025őszén már nem áll fenn, úgy a 2025/2026. tanév első félévére eső ösztöndíj már nem kerül folyósításra.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ösztöndíjra pályázatot nyújthatnak be azok a hallgatók is, akiknek a hallgatói jogviszonya a felsőoktatási intézményben a pályázás időpontjában szünetel. Az ösztöndíj folyósításának feltétele, hogy a 2024/2025. tanév második félévére a beiratkozott hallgató aktív hallgatói jogviszonnyal rendelkezzen.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Nem részesülhet ösztöndíjban az a pályázó, aki:</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honvéd tisztjelölt, rendvédelmi oktatási intézmény tisztjelöltje, a Magyar Honvédség hivatásos és szerződéses állományú, valamint  a rendvédelmi feladatokat ellátó szervek hivatásos  állományú hallgatója, a rendészeti képzésben részt vevő ösztöndíjas hallgató;</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doktori (PhD) képzésben vesz részt;</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kizárólag külföldi intézménnyel áll hallgatói jogviszonyban és/vagy vendéghallgatói képzésben vesz részt;</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akiről hitelt érdemlően bebizonyosodik, hogy a pályázat benyújtásakor a támogatásidöntés tartalmát érdemben befolyásoló, valótlan, hamis vagy megtévesztő adatot szolgáltatott, vagy ilyen nyilatkozatot tett;</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nemvagy csak részben teljesítette.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Amennyiben a pályázó a támogatást ismételten igénybe kívánja venni – a vonatkozó jogszabályok biztosította keretek között –, úgy az ösztöndíj-pályázatota következő évi pályázati fordulókban újra be kell nyújtania.</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3. A pályázat benyújtásának módja és határideje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pályázatbeadáshoz a Bursa Hungarica Elektronikus Pályázatkezelési és Együttműködési Rendszerben (a továbbiakban: EPER-Bursa rendszer) egyszeri pályázói regisztráció szükséges, melynek elérése: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hyperlink r:id="rId6">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https://bursa.emet.hu/paly/palybelep.aspx</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Elfelejtett jelszó</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funkcióval kérhetnek új jelszót. A pályázói regisztrációt követően lehetséges a pályázati adatok rögzítése a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csatlakozott önkormányzatok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pályázói részére. A pályázati űrlapot minden fordulóban újra ki kell tölteni! A személyes és pályázati adatok ellenőrzését,rögzítését követően a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pályázati űrlapot kinyomtatva és aláírva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be nem fogadott pályázatok a bírálatban nem vesznek részt.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 pályázat rögzítésének és az önkormányzathoz történő benyújtásának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határideje: 2024. december 4.</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pályázatot az EPER-Bursa rendszerben kitöltve, véglegesítve, onnan kinyomtatva, aláírva kizárólag a lakóhely szerint illetékes települési önkormányzat polgármesteri hivatalához kell benyújtani.</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A pályázat kötelező mellékletei:</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w:t>
        <w:tab/>
        <w:t xml:space="preserve">A felsőoktatási intézmény által kibocsátott eredeti hallgatói jogviszony-igazolás vagy annak hiteles másolataa 2024/2025. tanév első félévéről.</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Amennyiben a pályázó egyidejűleg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w:t>
        <w:tab/>
        <w:t xml:space="preserve">Igazolás a pályázó és a pályázóval egy háztartásban élők egy főre jutó havi nettó jövedelméről.</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w:t>
        <w:tab/>
        <w:t xml:space="preserve">A szociális rászorultság igazolására az alábbi okiratok:</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további mellékleteket az elbíráló települési önkormányzat határozza meg.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 pályázati űrlap csak a fent meghatározott kötelező mellékletekkel együtt érvényes, valamely melléklet hiányában a pályázat formai hibásnak minősül.</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Egy háztartásban élők: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pályázó lakóhelye szerinti lakásban életvitelszerűen együttlakó, ott bejelentett lakóhellyel vagy tartózkodási hellyel rendelkező személyek.</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Jövedelem: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aszociális igazgatásról és szociális ellátásokról szóló 1993. évi III. törvény 4. § (1) bekezdés a) pontja alapján az elismert költségekkel és a befizetési kötelezettséggel csökkentett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190.99999999999994"/>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aa) 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190.99999999999994"/>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ab) azon bevétel, amely után a kisadózó vállalkozások tételes adójáról szóló 2022. évi XIII. törvény,a kisadózó vállalkozások tételes adójáról és a kisvállalati adórólszóló 2012. évi CXLVII. törvény, vagy az egyszerűsített közteherviselési hozzájárulásról szóló 2005. évi CXX. törvény szerint adót, illetve hozzájárulást kell fizetni.</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190.99999999999994"/>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Elismert költségnek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Befizetési kötelezettségnek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minősül a személyi jövedelemadó, a magánszemélyt terhelő egyszerűsített közteherviselési hozzájárulás, társadalombiztosítási járulékés az egészségügyi szolgáltatási járulék.</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Nem minősül jövedelemnek:</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anyasági támogatás,</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nyugdíjprémium, az egyszeri juttatás, a tizenharmadik havi nyugdíj, a tizenharmadik havi ellátás és a szépkorúak jubileumi juttatása,</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személyes gondoskodásért fizetendő személyi térítési díj megállapítása kivételével a súlyos mozgáskorlátozott személyek pénzbeli közlekedési kedvezményei, a vakok személyi járadéka és a fogyatékossági támogatás,</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fogadó szervezet által az önkéntesnek külön törvény alapján biztosított juttatás,</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házi segítségnyújtás keretében társadalmi gondozásért kapott tiszteletdíj,</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energiafelhasználáshoz nyújtott támogatás,</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szociális szövetkezet tagja által, a közérdekű nyugdíjas szövetkezet öregségi nyugdíjban vagy átmeneti bányászjáradékban részesülőtagja által, valamint a kisgyermekkel otthon lévők szövetkezetének nem nagyszülőként gyermekgondozási díjban vagy gyermekgondozást segítő ellátásban részesülő tagja által a szövetkezetben végzett tevékenység ellenértékeként megszerzett, az Szjatv. alapján adómentes bevétel</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Szjatv. 7. § (1) bekezdés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b)-z)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pontja szerinti bevétel.</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4. Adatkezelés</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pályázat benyújtásával a pályázó tudomásul veszi, hogy azNKTK, az önkormányzatok és a felsőoktatási intézménya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azNKTK honlapján az Adatvédelmi tájékoztatóban az alábbi elérhetőségen: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https://emet.gov.hu/app/uploads/2024/04/Adatkezelesi-tajekoztato-Palyazatokhoz-es-tamogatasokhoz-kapcsolodo-adatkezelesrol_2024_0415.pdf</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 A pályázat elbírálása</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beérkezett pályázatokat az illetékes települési önkormányzat bírálja el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2025. január 6.</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napjáig: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az elbíráló önkormányzat a pályázókat hiánypótlásra szólíthatja fel a formai ellenőrzés ésaz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nap;</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 az EPER-Bursa rendszerben nem rögzített, nem a rendszerből nyomtatott pályázati űrlapon, határidőn túl benyújtott, vagy formailag nem megfelelő pályázatokat a bírálatból kizárja, és kizárását írásban indokolja;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 minden, határidőn belül, postai úton vagy személyesen benyújtott pályázatot befogad, minden, formailag megfelelő pályázatot érdemben elbírál, és döntését írásban indokolja;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 csak az önkormányzat területén lakóhellyel rendelkező pályázókat részesítheti támogatásban;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pályázó az elbíráló szerv döntése ellen fellebbezéssel nem élhet, a támogatói döntés ellen érdemben nincs helye jogorvoslatnak.</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A támogatási döntéssel szemben kifogást eljárásjogi jogszabálysértésre történő hivatkozással, a döntésről szóló értesítés kézhezvételét követő 5 napon belül lehet benyújtani az illetékes önkormányzat jegyzőjénél, aki érdemben megvizsgálja a kifogást és dönt arról.A felmerült kifogás beérkezését követő 5 napon belül az önkormányzat jegyzőjének értesítenie kell azNKTK-t.</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megítélt ösztöndíjat az önkormányzat megszüntethetiabban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6. Értesítés a pályázati döntésről</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települési önkormányzat a meghozott döntéséről és annak indokáról 2025. január 7. napjáig az EPER-Bursa rendszeren keresztül elektronikusan vagy postai úton küldött levélben értesíti a pályázókat.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AzNKTK az önkormányzati döntési listák érkeztetését követően 2025. február 17. napjáig értesíti a települési önkormányzatok által nem támogatott pályázókat az önkormányzati döntésről az EPER-Bursa rendszeren keresztül.</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AzNKTK az elbírálás ellenőrzését és az intézményi ösztöndíjrészek megállapítását követően 2025. március 12. napjáig az EPER-Bursa rendszeren keresztül értesíti a települési önkormányzat által támogatásban részesített pályázókat a Bursa Hungarica ösztöndíj teljes összegéről és az ösztöndíj-folyósítás módjáról.</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7. Az ösztöndíj folyósításának feltételei</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felsőoktatási intézményeknek az ösztöndíj kifizetést megelőzően az ösztöndíjra való jogosultságot a nemzeti felsőoktatásról szóló 2011. évi CCIV. törvényben foglaltak figyelembevételével kell megállapítaniuk. A Korm.rendelet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ösztöndíj csak azokban a hónapokban kerül folyósításra, amelyekben a pályázó beiratkozott, aktív hallgatója a felsőoktatási intézménynek.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ösztöndíj-folyósítás feltétele, hogy a támogatott pályázó hallgatói jogviszonya a 2024/2025.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8. Az ösztöndíj folyósítása</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ösztöndíjas jogviszony időtartama:10 hónap, azaz két egymást követő tanulmányi félévben félévenként max. 5 hónap (a továbbiakban Bursa tanulmányi félév), a 2024/2025. tanév második féléve és a 2025/2026. tanév első féléve.</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önkormányzatok egy Bursa tanulmányi félévre egy összegben utalják át azNKTK Bursa Hungarica számlájára a támogatott hallgatók öthavi önkormányzati támogatási összegét. AzNKTK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azNKTK számlájára.</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intézményi ösztöndíjrész forrása aKorm. rendelet 18. § (3) bekezdése értelmében az intézmények költségvetésében megjelölt elkülönített forrás.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egyidejűleg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Az ösztöndíj folyósításának kezdete legkorábban 2025. március hónap.</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elnyert ösztöndíjat közvetlen adó- és TB-járulékfizetési kötelezettség nem terheli (Szjatv. 1. számú melléklet 3.2.6. és 4.17. pontja).Az ösztöndíj teljes összege elszámolási kötelezettség terhe nélkül szabadon felhasználható.</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ösztöndíjas a Bursa tanulmányi félév lezárását követően (június 30., január 31.) a jogosultsági bejegyzéssel kapcsolatos kifogást nem tehet, illetve a ki nem fizetett ösztöndíjára már nem tarthat igényt.</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9. A pályázók értesítési kötelezettségei</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ösztöndíjban részesülő hallgató köteles az ösztöndíj folyósításának időszaka alatt minden, az ösztöndíj folyósítását érintő változásról haladéktalanul (de legkésőbb 15 napon belül)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írásban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értesítenia folyósító felsőoktatási intézményt ésazNKTK-t (levelezési cím: Bursa Hungarica 1381 Budapest, Pf. 1418).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bejelentést az EPER-Bursa rendszeren keresztül kell kezdeményeznie.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értesítési kötelezettséget a hallgató 5 munkanapon belül köteles teljesíteni az alábbi adatok változásakor:</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 tanulmányok szüneteltetése (halasztása);</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tanulmányok helyének megváltozása (az új felsőoktatási intézmény, kar, szak megnevezésével);</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tanulmányi státusz (munkarend, képzési szint, finanszírozási forma), képzés megnevezésének változása;</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személyes adatainak (név, lakóhely, elektronikus levelezési cím) változása.</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az ösztöndíjas, aki értesítési kötelezettségének elmulasztása miatt esik el az ösztöndíj folyósításától, a Bursa tanulmányi félév lezárását követően, legkésőbb június 30. napjáig, illetve január 31. napjáig ki nem fizetett ösztöndíjára már nem tarthat igényt.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ösztöndíjas 30 napon belül köteles a jogosulatlanul felvett ösztöndíjat a folyósító felsőoktatási intézmény részére visszafizetni.</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ösztöndíjas lemondhat a számára megítélt támogatásról, amit az EPER-Bursa rendszerben kezdeményezhet és az onnan letölthető Lemondó nyilatkozatot aláírva, postai úton, ajánlott levélként megküldve azNKTK címére jelenthet be. A Lemondó nyilatkozat beküldésével az ösztöndíjas a nyertes ösztöndíjpályázatát megszünteti, azaz a megjelölt félévre járó ösztöndíjról és az ösztöndíj további félévi részleteiről is lemond.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10. Lebonyolítás</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 ösztöndíjpályázattal kapcsolatos központi adatbázis-kezelői, koordinációs, a települési és a megyei önkormányzati ösztöndíjjal kapcsolatos pénzkezelési feladatokat azNKTK látja el.</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AzNKTK elérhetőségei:</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Nemzeti Kulturális Támogatáskezelő</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Bursa Hungarica Ügyfélszolgálat</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1381 Budapest, Pf.: 1418</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Tel.: (06-1) 550-2700</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bursa@nktk.hu</w:t>
        </w:r>
      </w:hyperlink>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Internet: </w:t>
      </w:r>
      <w:hyperlink r:id="rId9">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www.nktk.hu</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(Bursa Hungarica)</w:t>
      </w:r>
    </w:p>
    <w:sectPr>
      <w:headerReference r:id="rId10" w:type="default"/>
      <w:footerReference r:id="rId11" w:type="default"/>
      <w:pgSz w:h="16838" w:w="11906" w:orient="portrait"/>
      <w:pgMar w:bottom="1276" w:top="1276"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„Bursa Hungarica Felsőoktatási Önkormányzati Ösztöndíjrendszer 2025. évi pályázati eljárásrendje -Általános Szerződési Feltételek a csatlakozó önkormányzatok számára” 3. számú melléklete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077" w:hanging="360"/>
      </w:pPr>
      <w:rPr>
        <w:rFonts w:ascii="Noto Sans Symbols" w:cs="Noto Sans Symbols" w:eastAsia="Noto Sans Symbols" w:hAnsi="Noto Sans Symbols"/>
        <w:vertAlign w:val="baseline"/>
      </w:rPr>
    </w:lvl>
    <w:lvl w:ilvl="1">
      <w:start w:val="1"/>
      <w:numFmt w:val="bullet"/>
      <w:lvlText w:val="o"/>
      <w:lvlJc w:val="left"/>
      <w:pPr>
        <w:ind w:left="1797" w:hanging="360"/>
      </w:pPr>
      <w:rPr>
        <w:rFonts w:ascii="Courier New" w:cs="Courier New" w:eastAsia="Courier New" w:hAnsi="Courier New"/>
        <w:vertAlign w:val="baseline"/>
      </w:rPr>
    </w:lvl>
    <w:lvl w:ilvl="2">
      <w:start w:val="1"/>
      <w:numFmt w:val="bullet"/>
      <w:lvlText w:val="▪"/>
      <w:lvlJc w:val="left"/>
      <w:pPr>
        <w:ind w:left="2517" w:hanging="360"/>
      </w:pPr>
      <w:rPr>
        <w:rFonts w:ascii="Noto Sans Symbols" w:cs="Noto Sans Symbols" w:eastAsia="Noto Sans Symbols" w:hAnsi="Noto Sans Symbols"/>
        <w:vertAlign w:val="baseline"/>
      </w:rPr>
    </w:lvl>
    <w:lvl w:ilvl="3">
      <w:start w:val="1"/>
      <w:numFmt w:val="bullet"/>
      <w:lvlText w:val="●"/>
      <w:lvlJc w:val="left"/>
      <w:pPr>
        <w:ind w:left="3237" w:hanging="360"/>
      </w:pPr>
      <w:rPr>
        <w:rFonts w:ascii="Noto Sans Symbols" w:cs="Noto Sans Symbols" w:eastAsia="Noto Sans Symbols" w:hAnsi="Noto Sans Symbols"/>
        <w:vertAlign w:val="baseline"/>
      </w:rPr>
    </w:lvl>
    <w:lvl w:ilvl="4">
      <w:start w:val="1"/>
      <w:numFmt w:val="bullet"/>
      <w:lvlText w:val="o"/>
      <w:lvlJc w:val="left"/>
      <w:pPr>
        <w:ind w:left="3957" w:hanging="360"/>
      </w:pPr>
      <w:rPr>
        <w:rFonts w:ascii="Courier New" w:cs="Courier New" w:eastAsia="Courier New" w:hAnsi="Courier New"/>
        <w:vertAlign w:val="baseline"/>
      </w:rPr>
    </w:lvl>
    <w:lvl w:ilvl="5">
      <w:start w:val="1"/>
      <w:numFmt w:val="bullet"/>
      <w:lvlText w:val="▪"/>
      <w:lvlJc w:val="left"/>
      <w:pPr>
        <w:ind w:left="4677" w:hanging="360"/>
      </w:pPr>
      <w:rPr>
        <w:rFonts w:ascii="Noto Sans Symbols" w:cs="Noto Sans Symbols" w:eastAsia="Noto Sans Symbols" w:hAnsi="Noto Sans Symbols"/>
        <w:vertAlign w:val="baseline"/>
      </w:rPr>
    </w:lvl>
    <w:lvl w:ilvl="6">
      <w:start w:val="1"/>
      <w:numFmt w:val="bullet"/>
      <w:lvlText w:val="●"/>
      <w:lvlJc w:val="left"/>
      <w:pPr>
        <w:ind w:left="5397" w:hanging="360"/>
      </w:pPr>
      <w:rPr>
        <w:rFonts w:ascii="Noto Sans Symbols" w:cs="Noto Sans Symbols" w:eastAsia="Noto Sans Symbols" w:hAnsi="Noto Sans Symbols"/>
        <w:vertAlign w:val="baseline"/>
      </w:rPr>
    </w:lvl>
    <w:lvl w:ilvl="7">
      <w:start w:val="1"/>
      <w:numFmt w:val="bullet"/>
      <w:lvlText w:val="o"/>
      <w:lvlJc w:val="left"/>
      <w:pPr>
        <w:ind w:left="6117" w:hanging="360"/>
      </w:pPr>
      <w:rPr>
        <w:rFonts w:ascii="Courier New" w:cs="Courier New" w:eastAsia="Courier New" w:hAnsi="Courier New"/>
        <w:vertAlign w:val="baseline"/>
      </w:rPr>
    </w:lvl>
    <w:lvl w:ilvl="8">
      <w:start w:val="1"/>
      <w:numFmt w:val="bullet"/>
      <w:lvlText w:val="▪"/>
      <w:lvlJc w:val="left"/>
      <w:pPr>
        <w:ind w:left="6837" w:hanging="360"/>
      </w:pPr>
      <w:rPr>
        <w:rFonts w:ascii="Noto Sans Symbols" w:cs="Noto Sans Symbols" w:eastAsia="Noto Sans Symbols" w:hAnsi="Noto Sans Symbols"/>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nktk.hu" TargetMode="External"/><Relationship Id="rId5" Type="http://schemas.openxmlformats.org/officeDocument/2006/relationships/styles" Target="styles.xml"/><Relationship Id="rId6" Type="http://schemas.openxmlformats.org/officeDocument/2006/relationships/hyperlink" Target="https://bursa.nktk.hu/paly/palybelep.aspx" TargetMode="External"/><Relationship Id="rId7" Type="http://schemas.openxmlformats.org/officeDocument/2006/relationships/hyperlink" Target="https://emet.gov.hu/app/uploads/2024/04/Adatkezelesi-tajekoztato-Palyazatokhoz-es-tamogatasokhoz-kapcsolodo-adatkezelesrol_2024_0415.pdf" TargetMode="External"/><Relationship Id="rId8" Type="http://schemas.openxmlformats.org/officeDocument/2006/relationships/hyperlink" Target="mailto:bursa@nktk.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